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80" w:lineRule="auto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44"/>
          <w:szCs w:val="44"/>
          <w:rtl w:val="0"/>
        </w:rPr>
        <w:t xml:space="preserve">Engineering/Technical Recruitment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44"/>
          <w:szCs w:val="44"/>
          <w:rtl w:val="0"/>
        </w:rPr>
        <w:t xml:space="preserve">Health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40" w:before="120" w:lineRule="auto"/>
        <w:jc w:val="center"/>
        <w:rPr>
          <w:color w:val="000000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Self-Assessment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About This Health Check</w:t>
      </w:r>
    </w:p>
    <w:p w:rsidR="00000000" w:rsidDel="00000000" w:rsidP="00000000" w:rsidRDefault="00000000" w:rsidRPr="00000000" w14:paraId="00000005">
      <w:pPr>
        <w:spacing w:after="1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self-assessment will help you identify the strengths and weaknesses in your engineering/technical recruitment approach. It takes around 10 minutes to complete and will give you a clear score showing where you – stand </w:t>
      </w:r>
    </w:p>
    <w:p w:rsidR="00000000" w:rsidDel="00000000" w:rsidP="00000000" w:rsidRDefault="00000000" w:rsidRPr="00000000" w14:paraId="00000006">
      <w:pPr>
        <w:spacing w:after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Answer each question honestly based on your current practices. At the end, you'll receive a score and tailored recommendations for improvement.</w:t>
      </w:r>
    </w:p>
    <w:p w:rsidR="00000000" w:rsidDel="00000000" w:rsidP="00000000" w:rsidRDefault="00000000" w:rsidRPr="00000000" w14:paraId="00000007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Assessment</w:t>
      </w:r>
    </w:p>
    <w:p w:rsidR="00000000" w:rsidDel="00000000" w:rsidP="00000000" w:rsidRDefault="00000000" w:rsidRPr="00000000" w14:paraId="00000008">
      <w:pPr>
        <w:spacing w:after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Score each question:</w:t>
      </w:r>
      <w:r w:rsidDel="00000000" w:rsidR="00000000" w:rsidRPr="00000000">
        <w:rPr>
          <w:color w:val="000000"/>
          <w:rtl w:val="0"/>
        </w:rPr>
        <w:t xml:space="preserve">  0 = No/Rarely  |  1 = Sometimes  |  2 = Yes/Always</w:t>
      </w:r>
    </w:p>
    <w:p w:rsidR="00000000" w:rsidDel="00000000" w:rsidP="00000000" w:rsidRDefault="00000000" w:rsidRPr="00000000" w14:paraId="00000009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Category 1: Planning &amp; Proactivity (Max 6 points)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0"/>
        <w:gridCol w:w="2660"/>
        <w:tblGridChange w:id="0">
          <w:tblGrid>
            <w:gridCol w:w="6700"/>
            <w:gridCol w:w="2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Score (0-2)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Do you have a written succession plan for your critical engineering/technical roles?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Do you forecast engineering/technical headcount needs at least 6 months ahead?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Do you track reasons why engineers leave and act on the patterns?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Category 2: Time &amp; Process (Max 6 points)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0"/>
        <w:gridCol w:w="2660"/>
        <w:tblGridChange w:id="0">
          <w:tblGrid>
            <w:gridCol w:w="6700"/>
            <w:gridCol w:w="2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Score (0-2)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Do you fill most engineering/technical roles within 8 weeks of posting?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Do hiring managers have a clear, consistent interview process?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 Do you know your average cost-per-hire for engineering/technical roles?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befor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Category 3: Employer Brand &amp; Attraction (Max 6 points)</w:t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0"/>
        <w:gridCol w:w="2660"/>
        <w:tblGridChange w:id="0">
          <w:tblGrid>
            <w:gridCol w:w="6700"/>
            <w:gridCol w:w="2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Score (0-2)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 Can you clearly explain why an engineer would choose your company over a competitor?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8. Do your job adverts highlight real projects, technology, and progression – not just generic duties?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9. Do you actively build talent pipelines (even when you're not hiring)?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Category 4: Quality of Hire (Max 6 points)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0"/>
        <w:gridCol w:w="2660"/>
        <w:tblGridChange w:id="0">
          <w:tblGrid>
            <w:gridCol w:w="6700"/>
            <w:gridCol w:w="2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Score (0-2)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 Do new engineering/technical hires consistently meet performance expectations in their first year?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 Do you gather structured feedback from candidates (successful and unsuccessful)?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 Do hiring managers rarely say "just find me someone like [current person]"?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Category 5: Market Awareness (Max 6 points)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0"/>
        <w:gridCol w:w="2660"/>
        <w:tblGridChange w:id="0">
          <w:tblGrid>
            <w:gridCol w:w="6700"/>
            <w:gridCol w:w="2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e8e8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Score (0-2)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13. Do you review salary benchmarks for your engineering/technical roles at least annually?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14. Do you know the typical notice period and counter-offer risk for your target candidates?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15. Do you adjust your approach when the market tightens (rather than just waiting longer)?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before="48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1320"/>
        <w:tblGridChange w:id="0">
          <w:tblGrid>
            <w:gridCol w:w="3360"/>
            <w:gridCol w:w="1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0000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YOUR TOTAL SCORE: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9fa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  / 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What Your Score Means</w:t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7ae60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sdt>
              <w:sdtPr>
                <w:id w:val="-74540481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0000"/>
                    <w:sz w:val="26"/>
                    <w:szCs w:val="26"/>
                    <w:rtl w:val="0"/>
                  </w:rPr>
                  <w:t xml:space="preserve">24–30 points: Market Leader 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1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Your engineering/technical recruitment is strategic and data-driven. Focus on continuous improvement and staying ahead of workforce risks.</w:t>
            </w:r>
          </w:p>
        </w:tc>
      </w:tr>
    </w:tbl>
    <w:p w:rsidR="00000000" w:rsidDel="00000000" w:rsidP="00000000" w:rsidRDefault="00000000" w:rsidRPr="00000000" w14:paraId="00000042">
      <w:pPr>
        <w:spacing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9f40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16–23 points: Functional but Reactive 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4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You're filling roles, but likely firefighting more than you'd like. Time to add structure and get ahead of demand.</w:t>
            </w:r>
          </w:p>
        </w:tc>
      </w:tr>
    </w:tbl>
    <w:p w:rsidR="00000000" w:rsidDel="00000000" w:rsidP="00000000" w:rsidRDefault="00000000" w:rsidRPr="00000000" w14:paraId="00000045">
      <w:pPr>
        <w:spacing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4c3c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8–15 points: High Risk 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7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You're exposed to talent shortages, long vacancies, and mis-hires. Urgent action needed to avoid business impact.</w:t>
            </w:r>
          </w:p>
        </w:tc>
      </w:tr>
    </w:tbl>
    <w:p w:rsidR="00000000" w:rsidDel="00000000" w:rsidP="00000000" w:rsidRDefault="00000000" w:rsidRPr="00000000" w14:paraId="00000048">
      <w:pPr>
        <w:spacing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b0000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0–7 points: Critical 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A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Recruitment is likely a major blocker to your engineering/technical capability. You need external support and a reset of your approach.</w:t>
            </w:r>
          </w:p>
        </w:tc>
      </w:tr>
    </w:tbl>
    <w:p w:rsidR="00000000" w:rsidDel="00000000" w:rsidP="00000000" w:rsidRDefault="00000000" w:rsidRPr="00000000" w14:paraId="0000004B">
      <w:pPr>
        <w:spacing w:before="480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What to Do Next</w:t>
      </w:r>
    </w:p>
    <w:p w:rsidR="00000000" w:rsidDel="00000000" w:rsidP="00000000" w:rsidRDefault="00000000" w:rsidRPr="00000000" w14:paraId="0000004D">
      <w:pPr>
        <w:spacing w:after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Based on your score, here are the specific actions you should take:</w:t>
      </w:r>
    </w:p>
    <w:p w:rsidR="00000000" w:rsidDel="00000000" w:rsidP="00000000" w:rsidRDefault="00000000" w:rsidRPr="00000000" w14:paraId="0000004E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If you scored 24–30: Market Leader</w:t>
      </w:r>
    </w:p>
    <w:p w:rsidR="00000000" w:rsidDel="00000000" w:rsidP="00000000" w:rsidRDefault="00000000" w:rsidRPr="00000000" w14:paraId="0000004F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You're doing well – now protect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 a Quarterly Talent Review to stay ahead of succession risks and market shifts.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building a proactive talent pipeline with a retained partner for hard-to-fill specialisms.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 refining your employer value proposition to stay competitive.</w:t>
      </w:r>
    </w:p>
    <w:p w:rsidR="00000000" w:rsidDel="00000000" w:rsidP="00000000" w:rsidRDefault="00000000" w:rsidRPr="00000000" w14:paraId="0000005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If you scored 16–23: Functional but Reactive</w:t>
      </w:r>
    </w:p>
    <w:p w:rsidR="00000000" w:rsidDel="00000000" w:rsidP="00000000" w:rsidRDefault="00000000" w:rsidRPr="00000000" w14:paraId="00000054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You're capable but vulnerable.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with the Critical Role &amp; Succession Heatmap to identify where you're most exposed.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your Employer Proposition; weak messaging is costing you candidates.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market intelligence: are your salaries, timelines, and processes competitive?</w:t>
      </w:r>
    </w:p>
    <w:p w:rsidR="00000000" w:rsidDel="00000000" w:rsidP="00000000" w:rsidRDefault="00000000" w:rsidRPr="00000000" w14:paraId="0000005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If you scored 8–15: High Risk</w:t>
      </w:r>
    </w:p>
    <w:p w:rsidR="00000000" w:rsidDel="00000000" w:rsidP="00000000" w:rsidRDefault="00000000" w:rsidRPr="00000000" w14:paraId="00000059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You need a plan, fast.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a 12-24 Month Talent Planning session with your leadership team to map future needs.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Audit your current vacancies: Are they stuck because of unclear briefs, uncompetitive offers, or weak process? Fix the biggest blocker first.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interim external support to clear your backlog while you rebuild your approach.</w:t>
      </w:r>
    </w:p>
    <w:p w:rsidR="00000000" w:rsidDel="00000000" w:rsidP="00000000" w:rsidRDefault="00000000" w:rsidRPr="00000000" w14:paraId="0000005D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If you scored 0–7: Critical</w:t>
      </w:r>
    </w:p>
    <w:p w:rsidR="00000000" w:rsidDel="00000000" w:rsidP="00000000" w:rsidRDefault="00000000" w:rsidRPr="00000000" w14:paraId="0000005E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is a business risk.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likely can't fix this alone. Book a no-obligation conversation with an experienced recruitment partner to diagnose the root cause and agree a recovery plan.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Focus first on your most critical role. Get one hire right, learn from it, then scale the approach.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honest with leadership about the scale of the challenge and the investment needed.</w:t>
      </w:r>
    </w:p>
    <w:p w:rsidR="00000000" w:rsidDel="00000000" w:rsidP="00000000" w:rsidRDefault="00000000" w:rsidRPr="00000000" w14:paraId="00000062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Want to Talk Through Your Results?</w:t>
      </w:r>
    </w:p>
    <w:p w:rsidR="00000000" w:rsidDel="00000000" w:rsidP="00000000" w:rsidRDefault="00000000" w:rsidRPr="00000000" w14:paraId="00000063">
      <w:pPr>
        <w:spacing w:after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Your score highlights where your engineering recruitment approach is strong and where it's costing you. Whether you scored 28 or 8, the next step is the same: work out which gaps are hurting you most and fix them first.</w:t>
      </w:r>
    </w:p>
    <w:p w:rsidR="00000000" w:rsidDel="00000000" w:rsidP="00000000" w:rsidRDefault="00000000" w:rsidRPr="00000000" w14:paraId="00000064">
      <w:pPr>
        <w:spacing w:after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Book a free 30-minute discovery call</w:t>
      </w:r>
      <w:r w:rsidDel="00000000" w:rsidR="00000000" w:rsidRPr="00000000">
        <w:rPr>
          <w:color w:val="000000"/>
          <w:rtl w:val="0"/>
        </w:rPr>
        <w:t xml:space="preserve"> and we'll help you prioritise the gaps that matter most, based on your score and your current hiring challenges. No pitch, no obligation. Just a focused conversation about your engineering talent strategy.</w:t>
      </w:r>
    </w:p>
    <w:p w:rsidR="00000000" w:rsidDel="00000000" w:rsidP="00000000" w:rsidRDefault="00000000" w:rsidRPr="00000000" w14:paraId="00000065">
      <w:pPr>
        <w:spacing w:after="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Email: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info@yprecruit.co.uk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Phone: 0113 418 0806</w:t>
      </w:r>
    </w:p>
    <w:p w:rsidR="00000000" w:rsidDel="00000000" w:rsidP="00000000" w:rsidRDefault="00000000" w:rsidRPr="00000000" w14:paraId="00000067">
      <w:pPr>
        <w:spacing w:after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Website: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www.yprecruit.co.uk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280"/>
        <w:tab w:val="center" w:leader="none" w:pos="46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280"/>
        <w:tab w:val="center" w:leader="none" w:pos="46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280"/>
        <w:tab w:val="center" w:leader="none" w:pos="46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info@</w:t>
      </w:r>
    </w:hyperlink>
    <w:hyperlink r:id="rId2">
      <w:r w:rsidDel="00000000" w:rsidR="00000000" w:rsidRPr="00000000">
        <w:rPr>
          <w:color w:val="0563c1"/>
          <w:u w:val="single"/>
          <w:rtl w:val="0"/>
        </w:rPr>
        <w:t xml:space="preserve">yprecruit.co.uk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|</w:t>
      <w:tab/>
      <w:t xml:space="preserve">0113 418 0806</w:t>
      <w:tab/>
      <w:t xml:space="preserve">|</w:t>
      <w:tab/>
    </w:r>
    <w:hyperlink r:id="rId3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</w:t>
      </w:r>
    </w:hyperlink>
    <w:hyperlink r:id="rId4">
      <w:r w:rsidDel="00000000" w:rsidR="00000000" w:rsidRPr="00000000">
        <w:rPr>
          <w:color w:val="0563c1"/>
          <w:u w:val="single"/>
          <w:rtl w:val="0"/>
        </w:rPr>
        <w:t xml:space="preserve">yprecruit.co.uk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280"/>
        <w:tab w:val="center" w:leader="none" w:pos="46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65200" cy="965200"/>
          <wp:effectExtent b="0" l="0" r="0" t="0"/>
          <wp:docPr descr="A black letter with white text&#10;&#10;AI-generated content may be incorrect." id="1950378745" name="image1.png"/>
          <a:graphic>
            <a:graphicData uri="http://schemas.openxmlformats.org/drawingml/2006/picture">
              <pic:pic>
                <pic:nvPicPr>
                  <pic:cNvPr descr="A black letter with white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5200" cy="96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280"/>
        <w:tab w:val="center" w:leader="none" w:pos="46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b5e8e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b5e8e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33333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67629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7629A"/>
  </w:style>
  <w:style w:type="paragraph" w:styleId="Footer">
    <w:name w:val="footer"/>
    <w:basedOn w:val="Normal"/>
    <w:link w:val="FooterChar"/>
    <w:uiPriority w:val="99"/>
    <w:unhideWhenUsed w:val="1"/>
    <w:rsid w:val="0067629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7629A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7629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F1C93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yorkshireprecision.com" TargetMode="External"/><Relationship Id="rId8" Type="http://schemas.openxmlformats.org/officeDocument/2006/relationships/hyperlink" Target="http://www.yorkshireprecision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yorkshireprecision.com" TargetMode="External"/><Relationship Id="rId2" Type="http://schemas.openxmlformats.org/officeDocument/2006/relationships/hyperlink" Target="mailto:info@yorkshireprecision.com" TargetMode="External"/><Relationship Id="rId3" Type="http://schemas.openxmlformats.org/officeDocument/2006/relationships/hyperlink" Target="http://www.yorkshireprecision.com" TargetMode="External"/><Relationship Id="rId4" Type="http://schemas.openxmlformats.org/officeDocument/2006/relationships/hyperlink" Target="http://www.yorkshireprecision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CcBvk98x/SVhKWw/ZOx++fryQ==">CgMxLjAaHQoBMBIYChYIB0ISEhBBcmlhbCBVbmljb2RlIE1TOAByITExOE52ZEJIWXZ2eFJ4bXYwbGFySGhQdFYxYXhSVWh2aw==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2026-02-09T10:58:00Z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3e79c8-16ce-4717-8427-b73b3f6084ef_Enabled">
    <vt:lpwstr>true</vt:lpwstr>
  </property>
  <property fmtid="{D5CDD505-2E9C-101B-9397-08002B2CF9AE}" pid="3" name="MSIP_Label_a43e79c8-16ce-4717-8427-b73b3f6084ef_SetDate">
    <vt:lpwstr>2026-02-26T13:19:13Z</vt:lpwstr>
  </property>
  <property fmtid="{D5CDD505-2E9C-101B-9397-08002B2CF9AE}" pid="4" name="MSIP_Label_a43e79c8-16ce-4717-8427-b73b3f6084ef_Method">
    <vt:lpwstr>Privileged</vt:lpwstr>
  </property>
  <property fmtid="{D5CDD505-2E9C-101B-9397-08002B2CF9AE}" pid="5" name="MSIP_Label_a43e79c8-16ce-4717-8427-b73b3f6084ef_Name">
    <vt:lpwstr>Public</vt:lpwstr>
  </property>
  <property fmtid="{D5CDD505-2E9C-101B-9397-08002B2CF9AE}" pid="6" name="MSIP_Label_a43e79c8-16ce-4717-8427-b73b3f6084ef_SiteId">
    <vt:lpwstr>057daf85-b1d5-44cd-ab7b-0a4ce1b29eae</vt:lpwstr>
  </property>
  <property fmtid="{D5CDD505-2E9C-101B-9397-08002B2CF9AE}" pid="7" name="MSIP_Label_a43e79c8-16ce-4717-8427-b73b3f6084ef_ActionId">
    <vt:lpwstr>b30dc111-e9a3-4c73-b25e-8ca3ac522ea5</vt:lpwstr>
  </property>
  <property fmtid="{D5CDD505-2E9C-101B-9397-08002B2CF9AE}" pid="8" name="MSIP_Label_a43e79c8-16ce-4717-8427-b73b3f6084ef_ContentBits">
    <vt:lpwstr>0</vt:lpwstr>
  </property>
  <property fmtid="{D5CDD505-2E9C-101B-9397-08002B2CF9AE}" pid="9" name="MSIP_Label_a43e79c8-16ce-4717-8427-b73b3f6084ef_Tag">
    <vt:lpwstr>50, 0, 1, 1</vt:lpwstr>
  </property>
</Properties>
</file>